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7F8E" w:rsidRPr="00227F8E" w:rsidRDefault="00227F8E" w:rsidP="00CD2FDE">
      <w:pPr>
        <w:spacing w:line="240" w:lineRule="auto"/>
        <w:rPr>
          <w:color w:val="475285"/>
        </w:rPr>
      </w:pPr>
      <w:r w:rsidRPr="003161F7">
        <w:rPr>
          <w:rFonts w:ascii="Myriad Pro Cond" w:hAnsi="Myriad Pro Cond"/>
          <w:b/>
          <w:bCs/>
          <w:i/>
          <w:iCs/>
          <w:noProof/>
          <w:color w:val="475285"/>
        </w:rPr>
        <mc:AlternateContent>
          <mc:Choice Requires="wps">
            <w:drawing>
              <wp:anchor distT="0" distB="0" distL="114300" distR="114300" simplePos="0" relativeHeight="251659264" behindDoc="0" locked="0" layoutInCell="1" allowOverlap="1" wp14:anchorId="2596EC9C" wp14:editId="29FFE43B">
                <wp:simplePos x="0" y="0"/>
                <wp:positionH relativeFrom="column">
                  <wp:posOffset>-215900</wp:posOffset>
                </wp:positionH>
                <wp:positionV relativeFrom="paragraph">
                  <wp:posOffset>-571500</wp:posOffset>
                </wp:positionV>
                <wp:extent cx="12700" cy="92710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2700" cy="927100"/>
                        </a:xfrm>
                        <a:prstGeom prst="line">
                          <a:avLst/>
                        </a:prstGeom>
                        <a:ln w="12700">
                          <a:solidFill>
                            <a:srgbClr val="58A61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45pt" to="-1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" strokecolor="#58a618" strokeweight="1pt"/>
            </w:pict>
          </mc:Fallback>
        </mc:AlternateContent>
      </w:r>
      <w:r w:rsidRPr="003161F7">
        <w:rPr>
          <w:rFonts w:ascii="Myriad Pro Cond" w:hAnsi="Myriad Pro Cond"/>
          <w:b/>
          <w:bCs/>
          <w:i/>
          <w:iCs/>
          <w:color w:val="475285"/>
        </w:rPr>
        <w:t>Health Zone</w:t>
      </w:r>
      <w:r w:rsidRPr="00227F8E">
        <w:rPr>
          <w:b/>
          <w:bCs/>
          <w:i/>
          <w:iCs/>
          <w:color w:val="475285"/>
        </w:rPr>
        <w:t xml:space="preserve"> </w:t>
      </w:r>
      <w:r w:rsidRPr="00227F8E">
        <w:rPr>
          <w:b/>
          <w:bCs/>
          <w:i/>
          <w:iCs/>
          <w:color w:val="475285"/>
        </w:rPr>
        <w:br/>
      </w:r>
      <w:r w:rsidRPr="003161F7">
        <w:rPr>
          <w:rFonts w:ascii="Myriad Pro Cond" w:hAnsi="Myriad Pro Cond"/>
          <w:i/>
          <w:iCs/>
          <w:color w:val="475285"/>
        </w:rPr>
        <w:t>Nurse Practitioner-Led Clinic</w:t>
      </w:r>
    </w:p>
    <w:p w:rsidR="0060713D" w:rsidRDefault="00227F8E" w:rsidP="00CD2FDE">
      <w:pPr>
        <w:spacing w:after="120" w:line="180" w:lineRule="auto"/>
        <w:rPr>
          <w:rFonts w:ascii="Myriad Pro Cond" w:hAnsi="Myriad Pro Cond"/>
          <w:i/>
          <w:color w:val="475285"/>
          <w:sz w:val="18"/>
          <w:szCs w:val="18"/>
        </w:rPr>
      </w:pPr>
      <w:r w:rsidRPr="005C0DE6">
        <w:rPr>
          <w:rFonts w:ascii="Myriad Pro Cond" w:hAnsi="Myriad Pro Cond"/>
          <w:b/>
          <w:i/>
          <w:color w:val="475285"/>
          <w:sz w:val="18"/>
          <w:szCs w:val="18"/>
        </w:rPr>
        <w:t>Business Office</w:t>
      </w:r>
      <w:r w:rsidRPr="005C0DE6">
        <w:rPr>
          <w:rFonts w:ascii="Myriad Pro Cond" w:hAnsi="Myriad Pro Cond"/>
          <w:i/>
          <w:color w:val="475285"/>
          <w:sz w:val="18"/>
          <w:szCs w:val="18"/>
        </w:rPr>
        <w:tab/>
      </w:r>
      <w:r w:rsidRPr="005C0DE6">
        <w:rPr>
          <w:rFonts w:ascii="Myriad Pro Cond" w:hAnsi="Myriad Pro Cond"/>
          <w:i/>
          <w:color w:val="475285"/>
          <w:sz w:val="18"/>
          <w:szCs w:val="18"/>
        </w:rPr>
        <w:tab/>
      </w:r>
      <w:r w:rsidRPr="005C0DE6">
        <w:rPr>
          <w:rFonts w:ascii="Myriad Pro Cond" w:hAnsi="Myriad Pro Cond"/>
          <w:i/>
          <w:color w:val="475285"/>
          <w:sz w:val="18"/>
          <w:szCs w:val="18"/>
        </w:rPr>
        <w:tab/>
      </w:r>
      <w:r w:rsidRPr="005C0DE6">
        <w:rPr>
          <w:rFonts w:ascii="Myriad Pro Cond" w:hAnsi="Myriad Pro Cond"/>
          <w:b/>
          <w:i/>
          <w:color w:val="475285"/>
          <w:sz w:val="18"/>
          <w:szCs w:val="18"/>
        </w:rPr>
        <w:t>Clinic Locations</w:t>
      </w:r>
      <w:r w:rsidR="003161F7" w:rsidRPr="005C0DE6">
        <w:rPr>
          <w:rFonts w:ascii="Myriad Pro Cond" w:hAnsi="Myriad Pro Cond"/>
          <w:i/>
          <w:color w:val="475285"/>
          <w:sz w:val="18"/>
          <w:szCs w:val="18"/>
        </w:rPr>
        <w:br/>
      </w:r>
      <w:r w:rsidRPr="005C0DE6">
        <w:rPr>
          <w:rFonts w:ascii="Myriad Pro Cond" w:hAnsi="Myriad Pro Cond"/>
          <w:i/>
          <w:color w:val="475285"/>
          <w:sz w:val="18"/>
          <w:szCs w:val="18"/>
        </w:rPr>
        <w:t>PO Box 25087</w:t>
      </w:r>
      <w:r w:rsidR="003161F7" w:rsidRPr="005C0DE6">
        <w:rPr>
          <w:rFonts w:ascii="Myriad Pro Cond" w:hAnsi="Myriad Pro Cond"/>
          <w:i/>
          <w:color w:val="475285"/>
          <w:sz w:val="18"/>
          <w:szCs w:val="18"/>
        </w:rPr>
        <w:tab/>
      </w:r>
      <w:r w:rsidR="003161F7" w:rsidRPr="005C0DE6">
        <w:rPr>
          <w:rFonts w:ascii="Myriad Pro Cond" w:hAnsi="Myriad Pro Cond"/>
          <w:i/>
          <w:color w:val="475285"/>
          <w:sz w:val="18"/>
          <w:szCs w:val="18"/>
        </w:rPr>
        <w:tab/>
      </w:r>
      <w:r w:rsidR="003161F7" w:rsidRPr="005C0DE6">
        <w:rPr>
          <w:rFonts w:ascii="Myriad Pro Cond" w:hAnsi="Myriad Pro Cond"/>
          <w:i/>
          <w:color w:val="475285"/>
          <w:sz w:val="18"/>
          <w:szCs w:val="18"/>
        </w:rPr>
        <w:tab/>
        <w:t>Allan Rush Gardens</w:t>
      </w:r>
      <w:r w:rsidRPr="005C0DE6">
        <w:rPr>
          <w:rFonts w:ascii="Myriad Pro Cond" w:hAnsi="Myriad Pro Cond"/>
          <w:i/>
          <w:color w:val="475285"/>
          <w:sz w:val="18"/>
          <w:szCs w:val="18"/>
        </w:rPr>
        <w:br/>
        <w:t>London  ON   N6C 6A8</w:t>
      </w:r>
      <w:r w:rsidR="000100B4">
        <w:rPr>
          <w:rFonts w:ascii="Myriad Pro Cond" w:hAnsi="Myriad Pro Cond"/>
          <w:i/>
          <w:color w:val="475285"/>
          <w:sz w:val="18"/>
          <w:szCs w:val="18"/>
        </w:rPr>
        <w:tab/>
      </w:r>
      <w:r w:rsidR="000100B4">
        <w:rPr>
          <w:rFonts w:ascii="Myriad Pro Cond" w:hAnsi="Myriad Pro Cond"/>
          <w:i/>
          <w:color w:val="475285"/>
          <w:sz w:val="18"/>
          <w:szCs w:val="18"/>
        </w:rPr>
        <w:tab/>
      </w:r>
      <w:r w:rsidR="003161F7" w:rsidRPr="005C0DE6">
        <w:rPr>
          <w:rFonts w:ascii="Myriad Pro Cond" w:hAnsi="Myriad Pro Cond"/>
          <w:i/>
          <w:color w:val="475285"/>
          <w:sz w:val="18"/>
          <w:szCs w:val="18"/>
        </w:rPr>
        <w:t>Merrymount Children’s Centre</w:t>
      </w:r>
      <w:r w:rsidR="003161F7" w:rsidRPr="005C0DE6">
        <w:rPr>
          <w:rFonts w:ascii="Myriad Pro Cond" w:hAnsi="Myriad Pro Cond"/>
          <w:i/>
          <w:color w:val="475285"/>
          <w:sz w:val="18"/>
          <w:szCs w:val="18"/>
        </w:rPr>
        <w:br/>
      </w:r>
      <w:r w:rsidR="003161F7" w:rsidRPr="005C0DE6">
        <w:rPr>
          <w:rFonts w:ascii="Myriad Pro Cond" w:hAnsi="Myriad Pro Cond"/>
          <w:i/>
          <w:color w:val="475285"/>
          <w:sz w:val="18"/>
          <w:szCs w:val="18"/>
        </w:rPr>
        <w:tab/>
      </w:r>
      <w:r w:rsidR="003161F7" w:rsidRPr="005C0DE6">
        <w:rPr>
          <w:rFonts w:ascii="Myriad Pro Cond" w:hAnsi="Myriad Pro Cond"/>
          <w:i/>
          <w:color w:val="475285"/>
          <w:sz w:val="18"/>
          <w:szCs w:val="18"/>
        </w:rPr>
        <w:tab/>
      </w:r>
      <w:r w:rsidR="003161F7" w:rsidRPr="005C0DE6">
        <w:rPr>
          <w:rFonts w:ascii="Myriad Pro Cond" w:hAnsi="Myriad Pro Cond"/>
          <w:i/>
          <w:color w:val="475285"/>
          <w:sz w:val="18"/>
          <w:szCs w:val="18"/>
        </w:rPr>
        <w:tab/>
      </w:r>
      <w:r w:rsidR="003161F7" w:rsidRPr="005C0DE6">
        <w:rPr>
          <w:rFonts w:ascii="Myriad Pro Cond" w:hAnsi="Myriad Pro Cond"/>
          <w:i/>
          <w:color w:val="475285"/>
          <w:sz w:val="18"/>
          <w:szCs w:val="18"/>
        </w:rPr>
        <w:tab/>
        <w:t>Southdale</w:t>
      </w:r>
    </w:p>
    <w:p w:rsidR="00EB7848" w:rsidRDefault="00EB7848" w:rsidP="00CD2FDE">
      <w:pPr>
        <w:spacing w:after="120" w:line="180" w:lineRule="auto"/>
        <w:rPr>
          <w:rFonts w:ascii="Myriad Pro Cond" w:hAnsi="Myriad Pro Cond"/>
          <w:i/>
          <w:color w:val="475285"/>
          <w:sz w:val="18"/>
          <w:szCs w:val="18"/>
        </w:rPr>
      </w:pPr>
    </w:p>
    <w:p w:rsidR="003313CD" w:rsidRDefault="003313CD" w:rsidP="003313CD">
      <w:pPr>
        <w:pStyle w:val="NormalWeb"/>
        <w:rPr>
          <w:rFonts w:ascii="Titillium Web" w:hAnsi="Titillium Web" w:cs="Arial"/>
          <w:color w:val="333333"/>
          <w:sz w:val="21"/>
          <w:szCs w:val="21"/>
          <w:lang w:val="en"/>
        </w:rPr>
      </w:pPr>
      <w:r>
        <w:rPr>
          <w:rStyle w:val="Strong"/>
          <w:rFonts w:ascii="Titillium Web" w:hAnsi="Titillium Web" w:cs="Arial"/>
          <w:color w:val="333333"/>
          <w:sz w:val="21"/>
          <w:szCs w:val="21"/>
          <w:lang w:val="en"/>
        </w:rPr>
        <w:t>Nurse Practitioner</w:t>
      </w:r>
    </w:p>
    <w:p w:rsidR="003313CD" w:rsidRDefault="003313CD" w:rsidP="003313CD">
      <w:pPr>
        <w:pStyle w:val="NormalWeb"/>
        <w:rPr>
          <w:rFonts w:ascii="Titillium Web" w:hAnsi="Titillium Web" w:cs="Arial"/>
          <w:color w:val="333333"/>
          <w:sz w:val="21"/>
          <w:szCs w:val="21"/>
          <w:lang w:val="en"/>
        </w:rPr>
      </w:pPr>
      <w:r>
        <w:rPr>
          <w:rFonts w:ascii="Titillium Web" w:hAnsi="Titillium Web" w:cs="Arial"/>
          <w:color w:val="333333"/>
          <w:sz w:val="21"/>
          <w:szCs w:val="21"/>
          <w:lang w:val="en"/>
        </w:rPr>
        <w:t> </w:t>
      </w:r>
    </w:p>
    <w:p w:rsidR="003313CD" w:rsidRPr="002202DA" w:rsidRDefault="003313CD" w:rsidP="003313CD">
      <w:pPr>
        <w:pStyle w:val="NormalWeb"/>
        <w:shd w:val="clear" w:color="auto" w:fill="FFFFFF"/>
        <w:rPr>
          <w:rFonts w:ascii="Titillium Web" w:hAnsi="Titillium Web"/>
        </w:rPr>
      </w:pPr>
      <w:r w:rsidRPr="002202DA">
        <w:rPr>
          <w:rFonts w:ascii="Titillium Web" w:hAnsi="Titillium Web"/>
        </w:rPr>
        <w:t xml:space="preserve">Located at 3 sites in London, Ontario, the Health Zone Nurse Practitioner Led Clinic (NPLC) provides comprehensive primary health care to those who have limited access to care. We have a particular mandate to serve women, children, and their families, who live in marginalized conditions, are in transition, and who encounter barriers to accessing health or social care.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xml:space="preserve">Our vision is to </w:t>
      </w:r>
      <w:r w:rsidRPr="002202DA">
        <w:rPr>
          <w:rStyle w:val="Strong"/>
          <w:rFonts w:ascii="Titillium Web" w:hAnsi="Titillium Web" w:cs="Arial"/>
          <w:color w:val="333333"/>
          <w:lang w:val="en"/>
        </w:rPr>
        <w:t>“</w:t>
      </w:r>
      <w:r w:rsidRPr="002202DA">
        <w:rPr>
          <w:rStyle w:val="Emphasis"/>
          <w:rFonts w:ascii="Titillium Web" w:hAnsi="Titillium Web" w:cs="Arial"/>
          <w:b/>
          <w:bCs/>
          <w:color w:val="333333"/>
          <w:lang w:val="en"/>
        </w:rPr>
        <w:t>Improve the health equity and well-being of women, children and families who have limited access to primary health care services.”</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xml:space="preserve">We are currently looking to fill </w:t>
      </w:r>
      <w:r w:rsidR="00AE7005" w:rsidRPr="002202DA">
        <w:rPr>
          <w:rFonts w:ascii="Titillium Web" w:hAnsi="Titillium Web" w:cs="Arial"/>
          <w:color w:val="333333"/>
          <w:lang w:val="en"/>
        </w:rPr>
        <w:t xml:space="preserve">a </w:t>
      </w:r>
      <w:r w:rsidR="00AC23AC">
        <w:rPr>
          <w:rStyle w:val="Strong"/>
          <w:rFonts w:ascii="Titillium Web" w:hAnsi="Titillium Web" w:cs="Arial"/>
          <w:color w:val="333333"/>
          <w:lang w:val="en"/>
        </w:rPr>
        <w:t>1.0</w:t>
      </w:r>
      <w:r w:rsidRPr="002202DA">
        <w:rPr>
          <w:rStyle w:val="Strong"/>
          <w:rFonts w:ascii="Titillium Web" w:hAnsi="Titillium Web" w:cs="Arial"/>
          <w:color w:val="333333"/>
          <w:lang w:val="en"/>
        </w:rPr>
        <w:t xml:space="preserve"> Nurse Practitioner </w:t>
      </w:r>
      <w:r w:rsidR="00AC23AC">
        <w:rPr>
          <w:rStyle w:val="Strong"/>
          <w:rFonts w:ascii="Titillium Web" w:hAnsi="Titillium Web" w:cs="Arial"/>
          <w:color w:val="333333"/>
          <w:lang w:val="en"/>
        </w:rPr>
        <w:t>maternity-leave</w:t>
      </w:r>
      <w:r w:rsidR="00C43737">
        <w:rPr>
          <w:rFonts w:ascii="Titillium Web" w:hAnsi="Titillium Web" w:cs="Arial"/>
          <w:color w:val="333333"/>
          <w:lang w:val="en"/>
        </w:rPr>
        <w:t xml:space="preserve">.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As a nurse practitioner at the Health Zone NPLC, you will be part of an inter-disciplinary team of health and social service professionals providing high quality, accessible, timely, health care programs and services. Working within the scope of practice set out by the College of Nurses of Ontario, you will engage in assessment, treatment/management, health education and promotion, advocacy, and service coordination/referral with a broad range of primary health care clients who access the clinic’s onsite and outreach programs. As well, you will work in partnership with other community based organizations, with clients, staff and students to ensure that services are responsive to diverse individual, family and community needs. You will participate in the education of NPs and inter-professional health sciences students, and in research and evaluation in order to improve the health of women, children and families who are most at risk of poor health. You will maintain and develop professional competence by seeking out appropriate continuing education opportunities.</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Qualifications:</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Primary Health Care Nurse Practitioner Certificate and current registration with the College of Nurses of Ontario in the exten</w:t>
      </w:r>
      <w:r>
        <w:rPr>
          <w:rFonts w:ascii="Titillium Web" w:hAnsi="Titillium Web" w:cs="Arial"/>
          <w:color w:val="333333"/>
          <w:lang w:val="en"/>
        </w:rPr>
        <w:t xml:space="preserve">ded class is required; evidence </w:t>
      </w:r>
      <w:r w:rsidRPr="002202DA">
        <w:rPr>
          <w:rFonts w:ascii="Titillium Web" w:hAnsi="Titillium Web" w:cs="Arial"/>
          <w:color w:val="333333"/>
          <w:lang w:val="en"/>
        </w:rPr>
        <w:t>of liability insurance;</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A minimum of 3 years clinical nursing practice experience, with preference given to candidates who have recent experience in women’s health, family health, mental health, primary care and/or community health;</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Advanced knowledge and skills in current, evidenced based practices in primary care delivery with an emphasis on health promotion, risk reduction and injury prevention;</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lastRenderedPageBreak/>
        <w:t>• Committed to working within an inter-professional collaborative, strengths-based, health promotion framework to address the barriers faced by marginalized populations is essential; previous experience working with marginalized populations is an asset;</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Self-motivated, flexible and creative approach to work and stimulated by taking on new challenges;</w:t>
      </w:r>
    </w:p>
    <w:p w:rsidR="003313CD" w:rsidRPr="002202DA"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Excellent interpersonal, communication, organizational, negotiation, and problem-solving skills;</w:t>
      </w:r>
    </w:p>
    <w:p w:rsidR="00AE7005" w:rsidRPr="00AE7005" w:rsidRDefault="003313CD" w:rsidP="003313CD">
      <w:pPr>
        <w:pStyle w:val="NormalWeb"/>
        <w:rPr>
          <w:rFonts w:ascii="Titillium Web" w:hAnsi="Titillium Web" w:cs="Arial"/>
          <w:color w:val="333333"/>
          <w:lang w:val="en"/>
        </w:rPr>
      </w:pPr>
      <w:r w:rsidRPr="002202DA">
        <w:rPr>
          <w:rFonts w:ascii="Titillium Web" w:hAnsi="Titillium Web" w:cs="Arial"/>
          <w:color w:val="333333"/>
          <w:lang w:val="en"/>
        </w:rPr>
        <w:t xml:space="preserve">• </w:t>
      </w:r>
      <w:r w:rsidRPr="00AE7005">
        <w:rPr>
          <w:rFonts w:ascii="Titillium Web" w:hAnsi="Titillium Web" w:cs="Arial"/>
          <w:color w:val="333333"/>
          <w:lang w:val="en"/>
        </w:rPr>
        <w:t xml:space="preserve">Current CPR certification </w:t>
      </w:r>
    </w:p>
    <w:p w:rsidR="003313CD" w:rsidRPr="00AE7005" w:rsidRDefault="003313CD" w:rsidP="003313CD">
      <w:pPr>
        <w:pStyle w:val="NormalWeb"/>
        <w:rPr>
          <w:rFonts w:ascii="Titillium Web" w:hAnsi="Titillium Web" w:cs="Arial"/>
          <w:color w:val="333333"/>
          <w:lang w:val="en"/>
        </w:rPr>
      </w:pPr>
      <w:r w:rsidRPr="00AE7005">
        <w:rPr>
          <w:rFonts w:ascii="Titillium Web" w:hAnsi="Titillium Web" w:cs="Arial"/>
          <w:color w:val="333333"/>
          <w:lang w:val="en"/>
        </w:rPr>
        <w:t>• Ability to work flexible hours;</w:t>
      </w:r>
    </w:p>
    <w:p w:rsidR="00AE7005" w:rsidRDefault="003313CD" w:rsidP="003313CD">
      <w:pPr>
        <w:pStyle w:val="NormalWeb"/>
        <w:rPr>
          <w:rFonts w:ascii="Titillium Web" w:hAnsi="Titillium Web" w:cs="Arial"/>
          <w:color w:val="333333"/>
          <w:lang w:val="en"/>
        </w:rPr>
      </w:pPr>
      <w:r w:rsidRPr="00AE7005">
        <w:rPr>
          <w:rFonts w:ascii="Titillium Web" w:hAnsi="Titillium Web" w:cs="Arial"/>
          <w:color w:val="333333"/>
          <w:lang w:val="en"/>
        </w:rPr>
        <w:t>• Possess a valid driver’s license and access to personal insured vehicle;</w:t>
      </w:r>
    </w:p>
    <w:p w:rsidR="00AE7005" w:rsidRDefault="00AE7005" w:rsidP="00AE7005">
      <w:pPr>
        <w:pStyle w:val="ListParagraph"/>
        <w:widowControl w:val="0"/>
        <w:numPr>
          <w:ilvl w:val="0"/>
          <w:numId w:val="2"/>
        </w:numPr>
        <w:autoSpaceDE w:val="0"/>
        <w:autoSpaceDN w:val="0"/>
        <w:adjustRightInd w:val="0"/>
        <w:spacing w:after="0" w:line="240" w:lineRule="auto"/>
        <w:rPr>
          <w:rFonts w:ascii="Titillium Web" w:eastAsia="MS Mincho" w:hAnsi="Titillium Web" w:cs="Calibri" w:hint="eastAsia"/>
          <w:sz w:val="24"/>
          <w:szCs w:val="24"/>
        </w:rPr>
      </w:pPr>
      <w:r w:rsidRPr="00AE7005">
        <w:rPr>
          <w:rFonts w:ascii="Titillium Web" w:eastAsia="MS Mincho" w:hAnsi="Titillium Web" w:cs="Calibri"/>
          <w:sz w:val="24"/>
          <w:szCs w:val="24"/>
        </w:rPr>
        <w:t>Proficient with computer technology and applications, including Electronic Medical Records;</w:t>
      </w:r>
    </w:p>
    <w:p w:rsidR="00AE7005" w:rsidRPr="00AE7005" w:rsidRDefault="00AE7005" w:rsidP="00AE7005">
      <w:pPr>
        <w:widowControl w:val="0"/>
        <w:autoSpaceDE w:val="0"/>
        <w:autoSpaceDN w:val="0"/>
        <w:adjustRightInd w:val="0"/>
        <w:spacing w:after="0" w:line="240" w:lineRule="auto"/>
        <w:rPr>
          <w:rFonts w:ascii="Titillium Web" w:eastAsia="MS Mincho" w:hAnsi="Titillium Web" w:cs="Calibri" w:hint="eastAsia"/>
          <w:sz w:val="24"/>
          <w:szCs w:val="24"/>
        </w:rPr>
      </w:pPr>
    </w:p>
    <w:p w:rsidR="00AE7005" w:rsidRPr="00AE7005" w:rsidRDefault="00AE7005" w:rsidP="00AE7005">
      <w:pPr>
        <w:pStyle w:val="ListParagraph"/>
        <w:widowControl w:val="0"/>
        <w:numPr>
          <w:ilvl w:val="0"/>
          <w:numId w:val="2"/>
        </w:numPr>
        <w:autoSpaceDE w:val="0"/>
        <w:autoSpaceDN w:val="0"/>
        <w:adjustRightInd w:val="0"/>
        <w:spacing w:after="0" w:line="240" w:lineRule="auto"/>
        <w:rPr>
          <w:rFonts w:ascii="Titillium Web" w:eastAsia="MS Mincho" w:hAnsi="Titillium Web" w:cs="Calibri" w:hint="eastAsia"/>
          <w:sz w:val="24"/>
          <w:szCs w:val="24"/>
        </w:rPr>
      </w:pPr>
      <w:r w:rsidRPr="00AE7005">
        <w:rPr>
          <w:rFonts w:ascii="Titillium Web" w:eastAsia="MS Mincho" w:hAnsi="Titillium Web" w:cs="Calibri"/>
          <w:sz w:val="24"/>
          <w:szCs w:val="24"/>
        </w:rPr>
        <w:t>Proficiency in English required; proficiency in a second language preferred</w:t>
      </w:r>
    </w:p>
    <w:p w:rsidR="00167122" w:rsidRDefault="00167122" w:rsidP="003313CD">
      <w:pPr>
        <w:pStyle w:val="NormalWeb"/>
        <w:rPr>
          <w:rStyle w:val="Emphasis"/>
          <w:rFonts w:ascii="Titillium Web" w:hAnsi="Titillium Web" w:cs="Arial"/>
          <w:color w:val="333333"/>
          <w:lang w:val="en"/>
        </w:rPr>
      </w:pPr>
    </w:p>
    <w:p w:rsidR="003313CD" w:rsidRPr="002202DA" w:rsidRDefault="003313CD" w:rsidP="003313CD">
      <w:pPr>
        <w:pStyle w:val="NormalWeb"/>
        <w:rPr>
          <w:rFonts w:ascii="Titillium Web" w:hAnsi="Titillium Web" w:cs="Arial"/>
          <w:color w:val="333333"/>
          <w:lang w:val="en"/>
        </w:rPr>
      </w:pPr>
      <w:r w:rsidRPr="002202DA">
        <w:rPr>
          <w:rStyle w:val="Emphasis"/>
          <w:rFonts w:ascii="Titillium Web" w:hAnsi="Titillium Web" w:cs="Arial"/>
          <w:color w:val="333333"/>
          <w:lang w:val="en"/>
        </w:rPr>
        <w:t xml:space="preserve">Interested applicants may submit a cover letter and resume </w:t>
      </w:r>
      <w:r w:rsidR="00167122">
        <w:rPr>
          <w:rStyle w:val="Emphasis"/>
          <w:rFonts w:ascii="Titillium Web" w:hAnsi="Titillium Web" w:cs="Arial"/>
          <w:color w:val="333333"/>
          <w:lang w:val="en"/>
        </w:rPr>
        <w:t xml:space="preserve">no later than July 13, 2018 </w:t>
      </w:r>
      <w:r w:rsidRPr="002202DA">
        <w:rPr>
          <w:rStyle w:val="Emphasis"/>
          <w:rFonts w:ascii="Titillium Web" w:hAnsi="Titillium Web" w:cs="Arial"/>
          <w:color w:val="333333"/>
          <w:lang w:val="en"/>
        </w:rPr>
        <w:t xml:space="preserve">to the Clinical Director: </w:t>
      </w:r>
      <w:hyperlink r:id="rId6" w:history="1">
        <w:r w:rsidRPr="002202DA">
          <w:rPr>
            <w:rStyle w:val="Hyperlink"/>
            <w:rFonts w:ascii="Titillium Web" w:hAnsi="Titillium Web" w:cs="Arial"/>
            <w:lang w:val="en"/>
          </w:rPr>
          <w:t>aparker@healthzonenplc.ca</w:t>
        </w:r>
      </w:hyperlink>
      <w:r w:rsidRPr="002202DA">
        <w:rPr>
          <w:rStyle w:val="Emphasis"/>
          <w:rFonts w:ascii="Titillium Web" w:hAnsi="Titillium Web" w:cs="Arial"/>
          <w:color w:val="333333"/>
          <w:lang w:val="en"/>
        </w:rPr>
        <w:t>. We thank all those who apply, but only those selected for an interview will be contacted.</w:t>
      </w:r>
    </w:p>
    <w:p w:rsidR="00EB7848" w:rsidRDefault="00EB7848" w:rsidP="00CD2FDE">
      <w:pPr>
        <w:spacing w:after="120" w:line="180" w:lineRule="auto"/>
        <w:rPr>
          <w:rFonts w:ascii="Myriad Pro Cond" w:hAnsi="Myriad Pro Cond"/>
          <w:i/>
          <w:color w:val="475285"/>
          <w:sz w:val="18"/>
          <w:szCs w:val="18"/>
        </w:rPr>
      </w:pPr>
    </w:p>
    <w:p w:rsidR="00EB7848" w:rsidRDefault="00EB7848" w:rsidP="00CD2FDE">
      <w:pPr>
        <w:spacing w:after="120" w:line="180" w:lineRule="auto"/>
        <w:rPr>
          <w:rFonts w:ascii="Myriad Pro Cond" w:hAnsi="Myriad Pro Cond"/>
          <w:i/>
          <w:color w:val="475285"/>
          <w:sz w:val="18"/>
          <w:szCs w:val="18"/>
        </w:rPr>
      </w:pPr>
    </w:p>
    <w:p w:rsidR="002D103C" w:rsidRPr="002D103C" w:rsidRDefault="002D103C" w:rsidP="002D103C">
      <w:pPr>
        <w:spacing w:after="120" w:line="180" w:lineRule="auto"/>
        <w:jc w:val="center"/>
        <w:rPr>
          <w:sz w:val="24"/>
          <w:szCs w:val="24"/>
        </w:rPr>
      </w:pPr>
    </w:p>
    <w:sectPr w:rsidR="002D103C" w:rsidRPr="002D103C" w:rsidSect="001D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charset w:val="00"/>
    <w:family w:val="auto"/>
    <w:pitch w:val="variable"/>
    <w:sig w:usb0="00000001" w:usb1="00000001" w:usb2="00000000" w:usb3="00000000" w:csb0="0000019F" w:csb1="00000000"/>
  </w:font>
  <w:font w:name="Titillium 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0C2"/>
    <w:multiLevelType w:val="hybridMultilevel"/>
    <w:tmpl w:val="EAA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1E5C"/>
    <w:multiLevelType w:val="hybridMultilevel"/>
    <w:tmpl w:val="2836114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8E"/>
    <w:rsid w:val="000100B4"/>
    <w:rsid w:val="00060CCC"/>
    <w:rsid w:val="000C6A14"/>
    <w:rsid w:val="000E35CD"/>
    <w:rsid w:val="00167122"/>
    <w:rsid w:val="001737A3"/>
    <w:rsid w:val="001D402D"/>
    <w:rsid w:val="001E2204"/>
    <w:rsid w:val="001F1F87"/>
    <w:rsid w:val="00227F8E"/>
    <w:rsid w:val="002B06A7"/>
    <w:rsid w:val="002D103C"/>
    <w:rsid w:val="003161F7"/>
    <w:rsid w:val="00322AB2"/>
    <w:rsid w:val="003313CD"/>
    <w:rsid w:val="00365173"/>
    <w:rsid w:val="003C176C"/>
    <w:rsid w:val="004C3E76"/>
    <w:rsid w:val="0053153D"/>
    <w:rsid w:val="005C0DE6"/>
    <w:rsid w:val="0060713D"/>
    <w:rsid w:val="008C45CD"/>
    <w:rsid w:val="00AC23AC"/>
    <w:rsid w:val="00AE7005"/>
    <w:rsid w:val="00C43737"/>
    <w:rsid w:val="00CD2FDE"/>
    <w:rsid w:val="00D963D9"/>
    <w:rsid w:val="00E138C1"/>
    <w:rsid w:val="00EB7848"/>
    <w:rsid w:val="00F25A51"/>
    <w:rsid w:val="00F92FFD"/>
    <w:rsid w:val="00FB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87"/>
    <w:rPr>
      <w:rFonts w:ascii="Tahoma" w:hAnsi="Tahoma" w:cs="Tahoma"/>
      <w:sz w:val="16"/>
      <w:szCs w:val="16"/>
    </w:rPr>
  </w:style>
  <w:style w:type="paragraph" w:styleId="ListParagraph">
    <w:name w:val="List Paragraph"/>
    <w:basedOn w:val="Normal"/>
    <w:uiPriority w:val="34"/>
    <w:qFormat/>
    <w:rsid w:val="00FB035B"/>
    <w:pPr>
      <w:ind w:left="720"/>
      <w:contextualSpacing/>
    </w:pPr>
  </w:style>
  <w:style w:type="character" w:styleId="Hyperlink">
    <w:name w:val="Hyperlink"/>
    <w:basedOn w:val="DefaultParagraphFont"/>
    <w:uiPriority w:val="99"/>
    <w:unhideWhenUsed/>
    <w:rsid w:val="000E35CD"/>
    <w:rPr>
      <w:color w:val="0000FF" w:themeColor="hyperlink"/>
      <w:u w:val="single"/>
    </w:rPr>
  </w:style>
  <w:style w:type="character" w:styleId="Strong">
    <w:name w:val="Strong"/>
    <w:basedOn w:val="DefaultParagraphFont"/>
    <w:uiPriority w:val="22"/>
    <w:qFormat/>
    <w:rsid w:val="003313CD"/>
    <w:rPr>
      <w:b/>
      <w:bCs/>
    </w:rPr>
  </w:style>
  <w:style w:type="paragraph" w:styleId="NormalWeb">
    <w:name w:val="Normal (Web)"/>
    <w:basedOn w:val="Normal"/>
    <w:uiPriority w:val="99"/>
    <w:unhideWhenUsed/>
    <w:rsid w:val="003313CD"/>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3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87"/>
    <w:rPr>
      <w:rFonts w:ascii="Tahoma" w:hAnsi="Tahoma" w:cs="Tahoma"/>
      <w:sz w:val="16"/>
      <w:szCs w:val="16"/>
    </w:rPr>
  </w:style>
  <w:style w:type="paragraph" w:styleId="ListParagraph">
    <w:name w:val="List Paragraph"/>
    <w:basedOn w:val="Normal"/>
    <w:uiPriority w:val="34"/>
    <w:qFormat/>
    <w:rsid w:val="00FB035B"/>
    <w:pPr>
      <w:ind w:left="720"/>
      <w:contextualSpacing/>
    </w:pPr>
  </w:style>
  <w:style w:type="character" w:styleId="Hyperlink">
    <w:name w:val="Hyperlink"/>
    <w:basedOn w:val="DefaultParagraphFont"/>
    <w:uiPriority w:val="99"/>
    <w:unhideWhenUsed/>
    <w:rsid w:val="000E35CD"/>
    <w:rPr>
      <w:color w:val="0000FF" w:themeColor="hyperlink"/>
      <w:u w:val="single"/>
    </w:rPr>
  </w:style>
  <w:style w:type="character" w:styleId="Strong">
    <w:name w:val="Strong"/>
    <w:basedOn w:val="DefaultParagraphFont"/>
    <w:uiPriority w:val="22"/>
    <w:qFormat/>
    <w:rsid w:val="003313CD"/>
    <w:rPr>
      <w:b/>
      <w:bCs/>
    </w:rPr>
  </w:style>
  <w:style w:type="paragraph" w:styleId="NormalWeb">
    <w:name w:val="Normal (Web)"/>
    <w:basedOn w:val="Normal"/>
    <w:uiPriority w:val="99"/>
    <w:unhideWhenUsed/>
    <w:rsid w:val="003313CD"/>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285">
      <w:bodyDiv w:val="1"/>
      <w:marLeft w:val="0"/>
      <w:marRight w:val="0"/>
      <w:marTop w:val="0"/>
      <w:marBottom w:val="0"/>
      <w:divBdr>
        <w:top w:val="none" w:sz="0" w:space="0" w:color="auto"/>
        <w:left w:val="none" w:sz="0" w:space="0" w:color="auto"/>
        <w:bottom w:val="none" w:sz="0" w:space="0" w:color="auto"/>
        <w:right w:val="none" w:sz="0" w:space="0" w:color="auto"/>
      </w:divBdr>
    </w:div>
    <w:div w:id="9650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ker@healthzonenpl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Campbell</dc:creator>
  <cp:lastModifiedBy>Gail McMahon</cp:lastModifiedBy>
  <cp:revision>2</cp:revision>
  <cp:lastPrinted>2018-02-15T20:15:00Z</cp:lastPrinted>
  <dcterms:created xsi:type="dcterms:W3CDTF">2018-06-26T15:10:00Z</dcterms:created>
  <dcterms:modified xsi:type="dcterms:W3CDTF">2018-06-26T15:10:00Z</dcterms:modified>
</cp:coreProperties>
</file>